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6812FB62"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2F6F2D">
        <w:rPr>
          <w:rFonts w:ascii="Georgia" w:eastAsia="Georgia" w:hAnsi="Georgia" w:cs="Georgia"/>
        </w:rPr>
        <w:t>New Hampshire</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343E9E24"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 xml:space="preserve">a </w:t>
      </w:r>
      <w:r w:rsidR="002F6F2D">
        <w:rPr>
          <w:rFonts w:ascii="Garamond" w:eastAsia="Calibri" w:hAnsi="Garamond" w:cs="Arial"/>
        </w:rPr>
        <w:t>New Hampshire</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72064"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D2D9000" id="Straight Connector 20" o:spid="_x0000_s1026" style="position:absolute;flip:y;z-index:2516720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48A0B3DC"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2F6F2D">
        <w:rPr>
          <w:rFonts w:ascii="Garamond" w:eastAsia="Calibri" w:hAnsi="Garamond" w:cs="Arial"/>
        </w:rPr>
        <w:t>New Hampshire</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013C4A9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2F6F2D">
        <w:rPr>
          <w:rFonts w:ascii="Garamond" w:eastAsia="Calibri" w:hAnsi="Garamond" w:cs="Arial"/>
        </w:rPr>
        <w:t>New Hampshire</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6708C4EB"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2F6F2D">
        <w:rPr>
          <w:rFonts w:ascii="Garamond" w:eastAsia="Calibri" w:hAnsi="Garamond" w:cs="Arial"/>
        </w:rPr>
        <w:t>New Hampshire</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3E1D5468"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2F6F2D">
        <w:rPr>
          <w:rFonts w:ascii="Garamond" w:eastAsia="Times New Roman" w:hAnsi="Garamond" w:cs="Arial"/>
        </w:rPr>
        <w:t>New Hampshire</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454E68D0"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t>
      </w:r>
      <w:r>
        <w:rPr>
          <w:rFonts w:ascii="Garamond" w:eastAsia="Times New Roman" w:hAnsi="Garamond" w:cs="Arial"/>
        </w:rPr>
        <w:lastRenderedPageBreak/>
        <w:t>will in no way be affected, impaired or invalidated.  All terms are to be interpreted according to</w:t>
      </w:r>
      <w:r w:rsidR="00EA00C2">
        <w:rPr>
          <w:rFonts w:ascii="Garamond" w:eastAsia="Times New Roman" w:hAnsi="Garamond" w:cs="Arial"/>
        </w:rPr>
        <w:t xml:space="preserve"> </w:t>
      </w:r>
      <w:r w:rsidR="002F6F2D">
        <w:rPr>
          <w:rFonts w:ascii="Garamond" w:eastAsia="Times New Roman" w:hAnsi="Garamond" w:cs="Arial"/>
        </w:rPr>
        <w:t>New Hampshire</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B14D" w14:textId="77777777" w:rsidR="00DF7B0E" w:rsidRDefault="00DF7B0E" w:rsidP="00C119B6">
      <w:pPr>
        <w:spacing w:after="0" w:line="240" w:lineRule="auto"/>
      </w:pPr>
      <w:r>
        <w:separator/>
      </w:r>
    </w:p>
  </w:endnote>
  <w:endnote w:type="continuationSeparator" w:id="0">
    <w:p w14:paraId="5EF80F7D" w14:textId="77777777" w:rsidR="00DF7B0E" w:rsidRDefault="00DF7B0E"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AEDD" w14:textId="77777777" w:rsidR="00DF7B0E" w:rsidRDefault="00DF7B0E" w:rsidP="00C119B6">
      <w:pPr>
        <w:spacing w:after="0" w:line="240" w:lineRule="auto"/>
      </w:pPr>
      <w:r>
        <w:separator/>
      </w:r>
    </w:p>
  </w:footnote>
  <w:footnote w:type="continuationSeparator" w:id="0">
    <w:p w14:paraId="4ADC7256" w14:textId="77777777" w:rsidR="00DF7B0E" w:rsidRDefault="00DF7B0E"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2756D"/>
    <w:rsid w:val="0004178C"/>
    <w:rsid w:val="00054AB5"/>
    <w:rsid w:val="00072DF4"/>
    <w:rsid w:val="000A4122"/>
    <w:rsid w:val="000B0F8B"/>
    <w:rsid w:val="001206D6"/>
    <w:rsid w:val="00141C6C"/>
    <w:rsid w:val="0018308C"/>
    <w:rsid w:val="001B2ADA"/>
    <w:rsid w:val="001C3A33"/>
    <w:rsid w:val="00255F28"/>
    <w:rsid w:val="00282A53"/>
    <w:rsid w:val="002F6F2D"/>
    <w:rsid w:val="00356981"/>
    <w:rsid w:val="00377752"/>
    <w:rsid w:val="0038685E"/>
    <w:rsid w:val="00396832"/>
    <w:rsid w:val="0043393E"/>
    <w:rsid w:val="00463D35"/>
    <w:rsid w:val="00473BE3"/>
    <w:rsid w:val="00582337"/>
    <w:rsid w:val="005C7691"/>
    <w:rsid w:val="005E5CA7"/>
    <w:rsid w:val="0060097F"/>
    <w:rsid w:val="00660C57"/>
    <w:rsid w:val="00676AE8"/>
    <w:rsid w:val="006B656F"/>
    <w:rsid w:val="006D2123"/>
    <w:rsid w:val="006E56CB"/>
    <w:rsid w:val="007007F1"/>
    <w:rsid w:val="0072340B"/>
    <w:rsid w:val="00776499"/>
    <w:rsid w:val="00861211"/>
    <w:rsid w:val="00921D95"/>
    <w:rsid w:val="00957E26"/>
    <w:rsid w:val="009E1064"/>
    <w:rsid w:val="009F4436"/>
    <w:rsid w:val="009F5361"/>
    <w:rsid w:val="00A572F7"/>
    <w:rsid w:val="00A71509"/>
    <w:rsid w:val="00A9225E"/>
    <w:rsid w:val="00AA2C6C"/>
    <w:rsid w:val="00AB0A04"/>
    <w:rsid w:val="00B86533"/>
    <w:rsid w:val="00BA0D94"/>
    <w:rsid w:val="00BA3DCB"/>
    <w:rsid w:val="00BB799A"/>
    <w:rsid w:val="00BF5305"/>
    <w:rsid w:val="00C119B6"/>
    <w:rsid w:val="00C30892"/>
    <w:rsid w:val="00CA3C25"/>
    <w:rsid w:val="00CB18EF"/>
    <w:rsid w:val="00D416B7"/>
    <w:rsid w:val="00D86764"/>
    <w:rsid w:val="00DA2233"/>
    <w:rsid w:val="00DF7B0E"/>
    <w:rsid w:val="00E113C8"/>
    <w:rsid w:val="00E91667"/>
    <w:rsid w:val="00EA00C2"/>
    <w:rsid w:val="00F01D89"/>
    <w:rsid w:val="00F71650"/>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7081</Words>
  <Characters>40366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2023-08-30T16:30:00Z</dcterms:created>
  <dcterms:modified xsi:type="dcterms:W3CDTF">2023-08-30T16:30:00Z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